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6D7" w:rsidRPr="005916D7" w:rsidRDefault="00775C1C" w:rsidP="005916D7">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5916D7" w:rsidRPr="005916D7" w:rsidRDefault="005916D7" w:rsidP="005916D7">
      <w:pPr>
        <w:spacing w:after="0" w:line="480" w:lineRule="auto"/>
        <w:rPr>
          <w:rFonts w:ascii="Times New Roman" w:hAnsi="Times New Roman" w:cs="Times New Roman"/>
          <w:sz w:val="24"/>
          <w:szCs w:val="24"/>
        </w:rPr>
      </w:pPr>
      <w:r w:rsidRPr="005916D7">
        <w:rPr>
          <w:rFonts w:ascii="Times New Roman" w:hAnsi="Times New Roman" w:cs="Times New Roman"/>
          <w:sz w:val="24"/>
          <w:szCs w:val="24"/>
        </w:rPr>
        <w:t>Tutor</w:t>
      </w:r>
    </w:p>
    <w:p w:rsidR="005916D7" w:rsidRPr="005916D7" w:rsidRDefault="005916D7" w:rsidP="005916D7">
      <w:pPr>
        <w:spacing w:after="0" w:line="480" w:lineRule="auto"/>
        <w:rPr>
          <w:rFonts w:ascii="Times New Roman" w:hAnsi="Times New Roman" w:cs="Times New Roman"/>
          <w:sz w:val="24"/>
          <w:szCs w:val="24"/>
        </w:rPr>
      </w:pPr>
      <w:r w:rsidRPr="005916D7">
        <w:rPr>
          <w:rFonts w:ascii="Times New Roman" w:hAnsi="Times New Roman" w:cs="Times New Roman"/>
          <w:sz w:val="24"/>
          <w:szCs w:val="24"/>
        </w:rPr>
        <w:t>Course</w:t>
      </w:r>
    </w:p>
    <w:p w:rsidR="005916D7" w:rsidRPr="005916D7" w:rsidRDefault="005916D7" w:rsidP="005916D7">
      <w:pPr>
        <w:spacing w:after="0" w:line="480" w:lineRule="auto"/>
        <w:rPr>
          <w:rFonts w:ascii="Times New Roman" w:hAnsi="Times New Roman" w:cs="Times New Roman"/>
          <w:sz w:val="24"/>
          <w:szCs w:val="24"/>
        </w:rPr>
      </w:pPr>
      <w:r w:rsidRPr="005916D7">
        <w:rPr>
          <w:rFonts w:ascii="Times New Roman" w:hAnsi="Times New Roman" w:cs="Times New Roman"/>
          <w:sz w:val="24"/>
          <w:szCs w:val="24"/>
        </w:rPr>
        <w:t xml:space="preserve">Date </w:t>
      </w:r>
    </w:p>
    <w:p w:rsidR="005916D7" w:rsidRPr="005916D7" w:rsidRDefault="005916D7" w:rsidP="005916D7">
      <w:pPr>
        <w:spacing w:line="480" w:lineRule="auto"/>
        <w:jc w:val="center"/>
        <w:rPr>
          <w:rFonts w:ascii="Times New Roman" w:hAnsi="Times New Roman" w:cs="Times New Roman"/>
          <w:sz w:val="24"/>
          <w:szCs w:val="24"/>
        </w:rPr>
      </w:pPr>
    </w:p>
    <w:p w:rsidR="005D5BCC" w:rsidRPr="005916D7" w:rsidRDefault="00BF7064" w:rsidP="005916D7">
      <w:pPr>
        <w:spacing w:line="480" w:lineRule="auto"/>
        <w:jc w:val="center"/>
        <w:rPr>
          <w:rFonts w:ascii="Times New Roman" w:hAnsi="Times New Roman" w:cs="Times New Roman"/>
          <w:b/>
          <w:sz w:val="24"/>
          <w:szCs w:val="24"/>
        </w:rPr>
      </w:pPr>
      <w:r w:rsidRPr="005916D7">
        <w:rPr>
          <w:rFonts w:ascii="Times New Roman" w:hAnsi="Times New Roman" w:cs="Times New Roman"/>
          <w:sz w:val="24"/>
          <w:szCs w:val="24"/>
        </w:rPr>
        <w:t>Supreme Court Decisions to Civil Rights: Michael Greenlaw v.the United States</w:t>
      </w:r>
    </w:p>
    <w:p w:rsidR="00D77CC1" w:rsidRPr="005916D7" w:rsidRDefault="00BF7064" w:rsidP="00775C1C">
      <w:pPr>
        <w:spacing w:line="480" w:lineRule="auto"/>
        <w:jc w:val="center"/>
        <w:rPr>
          <w:rFonts w:ascii="Times New Roman" w:hAnsi="Times New Roman" w:cs="Times New Roman"/>
          <w:b/>
          <w:sz w:val="24"/>
          <w:szCs w:val="24"/>
        </w:rPr>
      </w:pPr>
      <w:r w:rsidRPr="005916D7">
        <w:rPr>
          <w:rFonts w:ascii="Times New Roman" w:hAnsi="Times New Roman" w:cs="Times New Roman"/>
          <w:b/>
          <w:sz w:val="24"/>
          <w:szCs w:val="24"/>
        </w:rPr>
        <w:t>Background</w:t>
      </w:r>
    </w:p>
    <w:p w:rsidR="00B31F00" w:rsidRPr="005916D7" w:rsidRDefault="00BF7064" w:rsidP="00775C1C">
      <w:pPr>
        <w:spacing w:line="480" w:lineRule="auto"/>
        <w:ind w:firstLine="720"/>
        <w:rPr>
          <w:rFonts w:ascii="Times New Roman" w:hAnsi="Times New Roman" w:cs="Times New Roman"/>
          <w:sz w:val="24"/>
          <w:szCs w:val="24"/>
        </w:rPr>
      </w:pPr>
      <w:r w:rsidRPr="005916D7">
        <w:rPr>
          <w:rFonts w:ascii="Times New Roman" w:hAnsi="Times New Roman" w:cs="Times New Roman"/>
          <w:sz w:val="24"/>
          <w:szCs w:val="24"/>
        </w:rPr>
        <w:t>Greenlaw was convicted of possession of firearms and seven drugs charges and was sentenced to imprisonment for 442 months. An error incurred during calculation of his sentence by the District Court</w:t>
      </w:r>
      <w:r w:rsidR="006911ED" w:rsidRPr="005916D7">
        <w:rPr>
          <w:rFonts w:ascii="Times New Roman" w:hAnsi="Times New Roman" w:cs="Times New Roman"/>
          <w:sz w:val="24"/>
          <w:szCs w:val="24"/>
        </w:rPr>
        <w:t xml:space="preserve"> (</w:t>
      </w:r>
      <w:r w:rsidR="006911ED" w:rsidRPr="005916D7">
        <w:rPr>
          <w:rFonts w:ascii="Times New Roman" w:eastAsia="Times New Roman" w:hAnsi="Times New Roman" w:cs="Times New Roman"/>
          <w:sz w:val="24"/>
          <w:szCs w:val="24"/>
        </w:rPr>
        <w:t>McCall 33)</w:t>
      </w:r>
      <w:r w:rsidRPr="005916D7">
        <w:rPr>
          <w:rFonts w:ascii="Times New Roman" w:hAnsi="Times New Roman" w:cs="Times New Roman"/>
          <w:sz w:val="24"/>
          <w:szCs w:val="24"/>
        </w:rPr>
        <w:t xml:space="preserve">. Regarding the controlling decision of the court in </w:t>
      </w:r>
      <w:r w:rsidRPr="005916D7">
        <w:rPr>
          <w:rStyle w:val="Emphasis"/>
          <w:rFonts w:ascii="Times New Roman" w:hAnsi="Times New Roman" w:cs="Times New Roman"/>
          <w:sz w:val="24"/>
          <w:szCs w:val="24"/>
        </w:rPr>
        <w:t>Deal</w:t>
      </w:r>
      <w:r w:rsidRPr="005916D7">
        <w:rPr>
          <w:rFonts w:ascii="Times New Roman" w:hAnsi="Times New Roman" w:cs="Times New Roman"/>
          <w:sz w:val="24"/>
          <w:szCs w:val="24"/>
        </w:rPr>
        <w:t xml:space="preserve"> v. </w:t>
      </w:r>
      <w:r w:rsidRPr="005916D7">
        <w:rPr>
          <w:rStyle w:val="Emphasis"/>
          <w:rFonts w:ascii="Times New Roman" w:hAnsi="Times New Roman" w:cs="Times New Roman"/>
          <w:sz w:val="24"/>
          <w:szCs w:val="24"/>
        </w:rPr>
        <w:t>the United States</w:t>
      </w:r>
      <w:r w:rsidR="005916D7">
        <w:rPr>
          <w:rFonts w:ascii="Times New Roman" w:hAnsi="Times New Roman" w:cs="Times New Roman"/>
          <w:sz w:val="24"/>
          <w:szCs w:val="24"/>
        </w:rPr>
        <w:t>, 508 U</w:t>
      </w:r>
      <w:r w:rsidRPr="005916D7">
        <w:rPr>
          <w:rFonts w:ascii="Times New Roman" w:hAnsi="Times New Roman" w:cs="Times New Roman"/>
          <w:sz w:val="24"/>
          <w:szCs w:val="24"/>
        </w:rPr>
        <w:t>.</w:t>
      </w:r>
      <w:r w:rsidR="005916D7">
        <w:rPr>
          <w:rFonts w:ascii="Times New Roman" w:hAnsi="Times New Roman" w:cs="Times New Roman"/>
          <w:sz w:val="24"/>
          <w:szCs w:val="24"/>
        </w:rPr>
        <w:t>S</w:t>
      </w:r>
      <w:r w:rsidRPr="005916D7">
        <w:rPr>
          <w:rFonts w:ascii="Times New Roman" w:hAnsi="Times New Roman" w:cs="Times New Roman"/>
          <w:sz w:val="24"/>
          <w:szCs w:val="24"/>
        </w:rPr>
        <w:t>. 129, 132-137, that interprets the 18.u.s.c. 924(c)(1)(i), and over the objection of the Government, a ten-year sentence was imposed by the District Court on a count that required 25-year mandatory minimum term</w:t>
      </w:r>
      <w:r w:rsidR="00D25710" w:rsidRPr="005916D7">
        <w:rPr>
          <w:rFonts w:ascii="Times New Roman" w:hAnsi="Times New Roman" w:cs="Times New Roman"/>
          <w:sz w:val="24"/>
          <w:szCs w:val="24"/>
        </w:rPr>
        <w:t xml:space="preserve"> (</w:t>
      </w:r>
      <w:r w:rsidR="00D25710" w:rsidRPr="005916D7">
        <w:rPr>
          <w:rFonts w:ascii="Times New Roman" w:eastAsia="Times New Roman" w:hAnsi="Times New Roman" w:cs="Times New Roman"/>
          <w:sz w:val="24"/>
          <w:szCs w:val="24"/>
        </w:rPr>
        <w:t>Riordan 37)</w:t>
      </w:r>
      <w:r w:rsidRPr="005916D7">
        <w:rPr>
          <w:rFonts w:ascii="Times New Roman" w:hAnsi="Times New Roman" w:cs="Times New Roman"/>
          <w:sz w:val="24"/>
          <w:szCs w:val="24"/>
        </w:rPr>
        <w:t>. Consequently, Greenlaw appealed pursuing</w:t>
      </w:r>
      <w:r w:rsidRPr="005916D7">
        <w:rPr>
          <w:rFonts w:ascii="Times New Roman" w:hAnsi="Times New Roman" w:cs="Times New Roman"/>
          <w:i/>
          <w:sz w:val="24"/>
          <w:szCs w:val="24"/>
        </w:rPr>
        <w:t>, among other thi</w:t>
      </w:r>
      <w:r w:rsidRPr="005916D7">
        <w:rPr>
          <w:rFonts w:ascii="Times New Roman" w:hAnsi="Times New Roman" w:cs="Times New Roman"/>
          <w:sz w:val="24"/>
          <w:szCs w:val="24"/>
        </w:rPr>
        <w:t>ngs, that the suitable sentence was 15 years for all his conviction. There was neither an appeal nor a cross-appeal by the Government. There was no merit found on the Greenlaw’s argument by the Eighth Circuit. However, the Eighth Circuit went on to consider whether Greenlaw’s sentence was too long. The court noticed that the state, while it had disagreed with the trial court's error during sentencing, had decided not to look for the changing of Greenlaw's sentence on appeal. Regarding the plain-error-rule outlined in Federal Rule of Criminal Procedure 52(b), the District Court was ordered by the Court of Appeal to the extent the sentence of Greenlaw by 15 years. Therefore, Greenlaw's total prison term became 622 months.</w:t>
      </w:r>
    </w:p>
    <w:p w:rsidR="00CB0F68" w:rsidRPr="005916D7" w:rsidRDefault="00BF7064" w:rsidP="00775C1C">
      <w:pPr>
        <w:spacing w:line="480" w:lineRule="auto"/>
        <w:ind w:firstLine="720"/>
        <w:rPr>
          <w:rFonts w:ascii="Times New Roman" w:hAnsi="Times New Roman" w:cs="Times New Roman"/>
          <w:b/>
          <w:sz w:val="24"/>
          <w:szCs w:val="24"/>
        </w:rPr>
      </w:pPr>
      <w:r w:rsidRPr="005916D7">
        <w:rPr>
          <w:rFonts w:ascii="Times New Roman" w:hAnsi="Times New Roman" w:cs="Times New Roman"/>
          <w:b/>
          <w:sz w:val="24"/>
          <w:szCs w:val="24"/>
        </w:rPr>
        <w:lastRenderedPageBreak/>
        <w:t>The Constitutional Question Being Debated</w:t>
      </w:r>
    </w:p>
    <w:p w:rsidR="00D77CC1" w:rsidRPr="005916D7" w:rsidRDefault="00BF7064" w:rsidP="00775C1C">
      <w:pPr>
        <w:spacing w:line="480" w:lineRule="auto"/>
        <w:ind w:firstLine="720"/>
        <w:rPr>
          <w:rFonts w:ascii="Times New Roman" w:hAnsi="Times New Roman" w:cs="Times New Roman"/>
          <w:sz w:val="24"/>
          <w:szCs w:val="24"/>
        </w:rPr>
      </w:pPr>
      <w:r w:rsidRPr="005916D7">
        <w:rPr>
          <w:rFonts w:ascii="Times New Roman" w:hAnsi="Times New Roman" w:cs="Times New Roman"/>
          <w:sz w:val="24"/>
          <w:szCs w:val="24"/>
        </w:rPr>
        <w:t xml:space="preserve">The specific constitutional question being debated is whether the court of appeal of United States can act on its initiative and order an increment in a sentence of a defendant. </w:t>
      </w:r>
    </w:p>
    <w:p w:rsidR="00CB0F68" w:rsidRPr="005916D7" w:rsidRDefault="00BF7064" w:rsidP="00775C1C">
      <w:pPr>
        <w:spacing w:line="480" w:lineRule="auto"/>
        <w:ind w:firstLine="720"/>
        <w:rPr>
          <w:rFonts w:ascii="Times New Roman" w:hAnsi="Times New Roman" w:cs="Times New Roman"/>
          <w:b/>
          <w:sz w:val="24"/>
          <w:szCs w:val="24"/>
        </w:rPr>
      </w:pPr>
      <w:r w:rsidRPr="005916D7">
        <w:rPr>
          <w:rFonts w:ascii="Times New Roman" w:hAnsi="Times New Roman" w:cs="Times New Roman"/>
          <w:b/>
          <w:sz w:val="24"/>
          <w:szCs w:val="24"/>
        </w:rPr>
        <w:t>Arguments Presented By the Justicesfor the Constitutional Question</w:t>
      </w:r>
    </w:p>
    <w:p w:rsidR="00F64DFD" w:rsidRPr="005916D7" w:rsidRDefault="00BF7064" w:rsidP="00775C1C">
      <w:pPr>
        <w:spacing w:line="480" w:lineRule="auto"/>
        <w:ind w:firstLine="720"/>
        <w:rPr>
          <w:rFonts w:ascii="Times New Roman" w:hAnsi="Times New Roman" w:cs="Times New Roman"/>
          <w:sz w:val="24"/>
          <w:szCs w:val="24"/>
        </w:rPr>
      </w:pPr>
      <w:r w:rsidRPr="005916D7">
        <w:rPr>
          <w:rFonts w:ascii="Times New Roman" w:hAnsi="Times New Roman" w:cs="Times New Roman"/>
          <w:sz w:val="24"/>
          <w:szCs w:val="24"/>
        </w:rPr>
        <w:t>Among convictions for Greenlaw was the violation of 18 U. S. C. §924(c)(1)(A), that illegalizes carrying of a firearm during and about a crime of drug trafficking or violence</w:t>
      </w:r>
      <w:r w:rsidR="00D25710" w:rsidRPr="005916D7">
        <w:rPr>
          <w:rFonts w:ascii="Times New Roman" w:hAnsi="Times New Roman" w:cs="Times New Roman"/>
          <w:sz w:val="24"/>
          <w:szCs w:val="24"/>
        </w:rPr>
        <w:t>(</w:t>
      </w:r>
      <w:r w:rsidR="00D25710" w:rsidRPr="005916D7">
        <w:rPr>
          <w:rFonts w:ascii="Times New Roman" w:eastAsia="Times New Roman" w:hAnsi="Times New Roman" w:cs="Times New Roman"/>
          <w:sz w:val="24"/>
          <w:szCs w:val="24"/>
        </w:rPr>
        <w:t>Riordan 34)</w:t>
      </w:r>
      <w:r w:rsidR="00D25710" w:rsidRPr="005916D7">
        <w:rPr>
          <w:rFonts w:ascii="Times New Roman" w:hAnsi="Times New Roman" w:cs="Times New Roman"/>
          <w:sz w:val="24"/>
          <w:szCs w:val="24"/>
        </w:rPr>
        <w:t>.</w:t>
      </w:r>
      <w:r w:rsidRPr="005916D7">
        <w:rPr>
          <w:rFonts w:ascii="Times New Roman" w:hAnsi="Times New Roman" w:cs="Times New Roman"/>
          <w:sz w:val="24"/>
          <w:szCs w:val="24"/>
        </w:rPr>
        <w:t>His first §924(c) conviction attributed to possession of a firearm in connection with a crime that took place in 1998.Moreover, the second conviction was for both carrying and discharging a firearm in connection with 1999 crime. Notably, the first penalty for violation of §924(c) carries a mandatory term of not less than five years, that is, if the firearm is simply carried. §924(c)(1)(A)(i). Furthermore, if the firearm is discharged as well, the mandatory minimum increases to 10 years. §924(c)(1)(A)(iii). Regarding the subsequent or second conviction, whether the firearm is only carried or discharged as well, the mandatory minimum shifts to 25 years. §924(c)(1)(C)(i). According to the judges, must run consecutively to any other form of imprisonment as long as</w:t>
      </w:r>
      <w:r w:rsidR="001025FA" w:rsidRPr="005916D7">
        <w:rPr>
          <w:rFonts w:ascii="Times New Roman" w:hAnsi="Times New Roman" w:cs="Times New Roman"/>
          <w:sz w:val="24"/>
          <w:szCs w:val="24"/>
        </w:rPr>
        <w:t xml:space="preserve"> i</w:t>
      </w:r>
      <w:r w:rsidR="00775C1C">
        <w:rPr>
          <w:rFonts w:ascii="Times New Roman" w:hAnsi="Times New Roman" w:cs="Times New Roman"/>
          <w:sz w:val="24"/>
          <w:szCs w:val="24"/>
        </w:rPr>
        <w:t>t is for violation of §924(c) (</w:t>
      </w:r>
      <w:r w:rsidR="001025FA" w:rsidRPr="001025FA">
        <w:rPr>
          <w:rFonts w:ascii="Times New Roman" w:eastAsia="Times New Roman" w:hAnsi="Times New Roman" w:cs="Times New Roman"/>
          <w:sz w:val="24"/>
          <w:szCs w:val="24"/>
        </w:rPr>
        <w:t>United States</w:t>
      </w:r>
      <w:r w:rsidRPr="005916D7">
        <w:rPr>
          <w:rFonts w:ascii="Times New Roman" w:hAnsi="Times New Roman" w:cs="Times New Roman"/>
          <w:sz w:val="24"/>
          <w:szCs w:val="24"/>
        </w:rPr>
        <w:t>§924(c)(1)(D)(ii)</w:t>
      </w:r>
      <w:r w:rsidR="001025FA" w:rsidRPr="005916D7">
        <w:rPr>
          <w:rFonts w:ascii="Times New Roman" w:hAnsi="Times New Roman" w:cs="Times New Roman"/>
          <w:sz w:val="24"/>
          <w:szCs w:val="24"/>
        </w:rPr>
        <w:t>)</w:t>
      </w:r>
      <w:r w:rsidRPr="005916D7">
        <w:rPr>
          <w:rFonts w:ascii="Times New Roman" w:hAnsi="Times New Roman" w:cs="Times New Roman"/>
          <w:sz w:val="24"/>
          <w:szCs w:val="24"/>
        </w:rPr>
        <w:t>.</w:t>
      </w:r>
    </w:p>
    <w:p w:rsidR="00F64DFD" w:rsidRPr="005916D7" w:rsidRDefault="00BF7064" w:rsidP="00775C1C">
      <w:pPr>
        <w:spacing w:line="480" w:lineRule="auto"/>
        <w:ind w:firstLine="720"/>
        <w:rPr>
          <w:rFonts w:ascii="Times New Roman" w:hAnsi="Times New Roman" w:cs="Times New Roman"/>
          <w:sz w:val="24"/>
          <w:szCs w:val="24"/>
        </w:rPr>
      </w:pPr>
      <w:r w:rsidRPr="005916D7">
        <w:rPr>
          <w:rFonts w:ascii="Times New Roman" w:hAnsi="Times New Roman" w:cs="Times New Roman"/>
          <w:sz w:val="24"/>
          <w:szCs w:val="24"/>
        </w:rPr>
        <w:t xml:space="preserve">The district court made an error at sentencing.  Notably,  over the State’s objection, the court held that a §924(c) conviction counts not as a second or subsequent when charged with a similar indictment as the one the defendant is charged with during the first §924(c) sentence. Justices held the error as plain since the court had held , in </w:t>
      </w:r>
      <w:r w:rsidRPr="005916D7">
        <w:rPr>
          <w:rStyle w:val="Emphasis"/>
          <w:rFonts w:ascii="Times New Roman" w:hAnsi="Times New Roman" w:cs="Times New Roman"/>
          <w:sz w:val="24"/>
          <w:szCs w:val="24"/>
        </w:rPr>
        <w:t>Deal</w:t>
      </w:r>
      <w:r w:rsidRPr="005916D7">
        <w:rPr>
          <w:rFonts w:ascii="Times New Roman" w:hAnsi="Times New Roman" w:cs="Times New Roman"/>
          <w:sz w:val="24"/>
          <w:szCs w:val="24"/>
        </w:rPr>
        <w:t xml:space="preserve"> v. </w:t>
      </w:r>
      <w:r w:rsidRPr="005916D7">
        <w:rPr>
          <w:rStyle w:val="Emphasis"/>
          <w:rFonts w:ascii="Times New Roman" w:hAnsi="Times New Roman" w:cs="Times New Roman"/>
          <w:sz w:val="24"/>
          <w:szCs w:val="24"/>
        </w:rPr>
        <w:t>United States</w:t>
      </w:r>
      <w:r w:rsidRPr="005916D7">
        <w:rPr>
          <w:rFonts w:ascii="Times New Roman" w:hAnsi="Times New Roman" w:cs="Times New Roman"/>
          <w:sz w:val="24"/>
          <w:szCs w:val="24"/>
        </w:rPr>
        <w:t>, 508 U. S. 129 (1993), which states that when a defendant is charged under one indictment with more than one offence that qualifies under §924(c), then the convictions following the first are ranked as subsequent or second and qualifies for 25 years imprisonment.</w:t>
      </w:r>
    </w:p>
    <w:p w:rsidR="002A1A5F" w:rsidRPr="005916D7" w:rsidRDefault="00BF7064" w:rsidP="00775C1C">
      <w:pPr>
        <w:spacing w:line="480" w:lineRule="auto"/>
        <w:ind w:firstLine="720"/>
        <w:rPr>
          <w:rFonts w:ascii="Times New Roman" w:hAnsi="Times New Roman" w:cs="Times New Roman"/>
          <w:b/>
          <w:sz w:val="24"/>
          <w:szCs w:val="24"/>
        </w:rPr>
      </w:pPr>
      <w:r w:rsidRPr="005916D7">
        <w:rPr>
          <w:rFonts w:ascii="Times New Roman" w:hAnsi="Times New Roman" w:cs="Times New Roman"/>
          <w:sz w:val="24"/>
          <w:szCs w:val="24"/>
        </w:rPr>
        <w:lastRenderedPageBreak/>
        <w:t>Moreover, after Greenlaw appealed to United States Court of appeal for the Eighth Circuit, there was no merit found in any of his arguments. Justices supposed that although the government had neither appealed nor crossed appealed, it had noted on a precise and at oral argument that the error of the District Court should have been 15 years longer compared to 442 months that had been imposed by the District Court. Adding to this, they claim that the government had observed since Greenlaw’s second §924(c) conviction called for a 25-year (rather than a 10-year) mandatory minimum sentence.</w:t>
      </w:r>
    </w:p>
    <w:p w:rsidR="00376F9C" w:rsidRPr="005916D7" w:rsidRDefault="00BF7064" w:rsidP="00775C1C">
      <w:pPr>
        <w:spacing w:line="480" w:lineRule="auto"/>
        <w:ind w:firstLine="720"/>
        <w:rPr>
          <w:rFonts w:ascii="Times New Roman" w:hAnsi="Times New Roman" w:cs="Times New Roman"/>
          <w:b/>
          <w:sz w:val="24"/>
          <w:szCs w:val="24"/>
        </w:rPr>
      </w:pPr>
      <w:r w:rsidRPr="005916D7">
        <w:rPr>
          <w:rFonts w:ascii="Times New Roman" w:hAnsi="Times New Roman" w:cs="Times New Roman"/>
          <w:sz w:val="24"/>
          <w:szCs w:val="24"/>
        </w:rPr>
        <w:t> </w:t>
      </w:r>
      <w:r w:rsidRPr="005916D7">
        <w:rPr>
          <w:rFonts w:ascii="Times New Roman" w:hAnsi="Times New Roman" w:cs="Times New Roman"/>
          <w:b/>
          <w:sz w:val="24"/>
          <w:szCs w:val="24"/>
        </w:rPr>
        <w:t>How did Each Justice vote On the Decision and the Type of Decision?</w:t>
      </w:r>
    </w:p>
    <w:p w:rsidR="00991D8A" w:rsidRPr="005916D7" w:rsidRDefault="00BF7064" w:rsidP="00775C1C">
      <w:pPr>
        <w:spacing w:line="480" w:lineRule="auto"/>
        <w:ind w:firstLine="720"/>
        <w:rPr>
          <w:rFonts w:ascii="Times New Roman" w:hAnsi="Times New Roman" w:cs="Times New Roman"/>
          <w:b/>
          <w:sz w:val="24"/>
          <w:szCs w:val="24"/>
        </w:rPr>
      </w:pPr>
      <w:r w:rsidRPr="005916D7">
        <w:rPr>
          <w:rFonts w:ascii="Times New Roman" w:hAnsi="Times New Roman" w:cs="Times New Roman"/>
          <w:sz w:val="24"/>
          <w:szCs w:val="24"/>
        </w:rPr>
        <w:t>The opinion of the court was delivered by Ginsburg, J</w:t>
      </w:r>
      <w:r w:rsidR="005916D7" w:rsidRPr="005916D7">
        <w:rPr>
          <w:rFonts w:ascii="Times New Roman" w:hAnsi="Times New Roman" w:cs="Times New Roman"/>
          <w:sz w:val="24"/>
          <w:szCs w:val="24"/>
        </w:rPr>
        <w:t xml:space="preserve"> (</w:t>
      </w:r>
      <w:r w:rsidR="005916D7" w:rsidRPr="005916D7">
        <w:rPr>
          <w:rFonts w:ascii="Times New Roman" w:eastAsia="Times New Roman" w:hAnsi="Times New Roman" w:cs="Times New Roman"/>
          <w:sz w:val="24"/>
          <w:szCs w:val="24"/>
        </w:rPr>
        <w:t>Epstein et al. 318)</w:t>
      </w:r>
      <w:r w:rsidRPr="005916D7">
        <w:rPr>
          <w:rFonts w:ascii="Times New Roman" w:hAnsi="Times New Roman" w:cs="Times New Roman"/>
          <w:sz w:val="24"/>
          <w:szCs w:val="24"/>
        </w:rPr>
        <w:t xml:space="preserve">. later on, Scalia, Kennedy, Robert, C.J., Thomas, and JJ.and Souterjoined in. Notably, Greenlaw was a gang member that, over the years, controlled the sale of crack cocaine in a South of Minneapolis neighborhood. To protect their drug stash and hinder their competing dealers from inventing their territory, the members of the gang were required to carry and conceal numerous weapons. Consequently, Greenlaw was charged for taking part in the operation. Greenlaw was charged, in the United States District Court for the District of Minnesota, with eight offenses; after trial, he was found guilty on seven of the charges. </w:t>
      </w:r>
    </w:p>
    <w:p w:rsidR="00991D8A" w:rsidRPr="005916D7" w:rsidRDefault="00BF7064" w:rsidP="00775C1C">
      <w:pPr>
        <w:pStyle w:val="NormalWeb"/>
        <w:spacing w:line="480" w:lineRule="auto"/>
        <w:ind w:firstLine="720"/>
      </w:pPr>
      <w:r w:rsidRPr="005916D7">
        <w:t xml:space="preserve">Moreover, a concurring decision in the judgment was filed by Breyer, J. According to the adversary system of the United States, in both criminal and civil cases, during the first instance and on appeal, the principle of party presentation is followed. Parties are,therefore, relied upon to frame the issues for the decision and forward assign the role of the neutral arbiter to the courts for the matters presented by the parties. To the extent courts have approved departures from the party presentation principle in criminal cases; the justification has usually been to protect a </w:t>
      </w:r>
      <w:r w:rsidRPr="005916D7">
        <w:rPr>
          <w:rStyle w:val="Emphasis"/>
        </w:rPr>
        <w:t xml:space="preserve">pro </w:t>
      </w:r>
      <w:r w:rsidRPr="005916D7">
        <w:rPr>
          <w:rStyle w:val="Emphasis"/>
        </w:rPr>
        <w:lastRenderedPageBreak/>
        <w:t>se</w:t>
      </w:r>
      <w:r w:rsidRPr="005916D7">
        <w:t xml:space="preserve"> litigant's rights</w:t>
      </w:r>
      <w:r w:rsidR="005916D7" w:rsidRPr="005916D7">
        <w:t xml:space="preserve"> (Dressler, Joshua, and Alan 521)</w:t>
      </w:r>
      <w:r w:rsidRPr="005916D7">
        <w:t xml:space="preserve">. As a general rule, the adversary system is designed with an assumption that parties are aware of what is best for them. Additionally, it is assumed that individuals have the responsibility of advancing the arguments and facts entitling them to relief. </w:t>
      </w:r>
    </w:p>
    <w:p w:rsidR="007E6C66" w:rsidRPr="005916D7" w:rsidRDefault="00BF7064" w:rsidP="00775C1C">
      <w:pPr>
        <w:spacing w:line="480" w:lineRule="auto"/>
        <w:ind w:firstLine="720"/>
        <w:rPr>
          <w:rFonts w:ascii="Times New Roman" w:hAnsi="Times New Roman" w:cs="Times New Roman"/>
          <w:sz w:val="24"/>
          <w:szCs w:val="24"/>
        </w:rPr>
      </w:pPr>
      <w:r w:rsidRPr="005916D7">
        <w:rPr>
          <w:rFonts w:ascii="Times New Roman" w:hAnsi="Times New Roman" w:cs="Times New Roman"/>
          <w:sz w:val="24"/>
          <w:szCs w:val="24"/>
        </w:rPr>
        <w:t>A dissenting opinion was also filed by Alito, J. who was later joined by Stevens. Notably, Breyer also joined in the dissenting decision. According to them, in ordering the District Court to add 15 years to Greenlaw’s sentence, regardless of the absence of a cross-appeal by the state, the court of Appeal acknowledged his authority to have been guaranteed by the Federal Rule of Criminal Procedure 52(b). Rule 52(b) states that "A plain error that affects substantial rights may be considered even though it was not brought to the court's attention."  Notably, no history or text within Rule 52</w:t>
      </w:r>
      <w:r w:rsidR="00775C1C">
        <w:rPr>
          <w:rFonts w:ascii="Times New Roman" w:hAnsi="Times New Roman" w:cs="Times New Roman"/>
          <w:sz w:val="24"/>
          <w:szCs w:val="24"/>
        </w:rPr>
        <w:t xml:space="preserve"> </w:t>
      </w:r>
      <w:r w:rsidRPr="005916D7">
        <w:rPr>
          <w:rFonts w:ascii="Times New Roman" w:hAnsi="Times New Roman" w:cs="Times New Roman"/>
          <w:sz w:val="24"/>
          <w:szCs w:val="24"/>
        </w:rPr>
        <w:t>(b) that proposes that the rule makers, in the codification of the plain-error doctrine, meant to override the cross-appeal necessity.</w:t>
      </w:r>
    </w:p>
    <w:p w:rsidR="00F4039E" w:rsidRPr="005916D7" w:rsidRDefault="00BF7064" w:rsidP="00775C1C">
      <w:pPr>
        <w:spacing w:line="480" w:lineRule="auto"/>
        <w:ind w:firstLine="720"/>
        <w:rPr>
          <w:rFonts w:ascii="Times New Roman" w:hAnsi="Times New Roman" w:cs="Times New Roman"/>
          <w:b/>
          <w:sz w:val="24"/>
          <w:szCs w:val="24"/>
        </w:rPr>
      </w:pPr>
      <w:r w:rsidRPr="005916D7">
        <w:rPr>
          <w:rFonts w:ascii="Times New Roman" w:hAnsi="Times New Roman" w:cs="Times New Roman"/>
          <w:b/>
          <w:sz w:val="24"/>
          <w:szCs w:val="24"/>
        </w:rPr>
        <w:t>The Legal Doctrine Established By the Court</w:t>
      </w:r>
    </w:p>
    <w:p w:rsidR="00D25710" w:rsidRPr="005916D7" w:rsidRDefault="00BF7064" w:rsidP="00775C1C">
      <w:pPr>
        <w:spacing w:line="480" w:lineRule="auto"/>
        <w:ind w:firstLine="720"/>
        <w:rPr>
          <w:rFonts w:ascii="Times New Roman" w:hAnsi="Times New Roman" w:cs="Times New Roman"/>
          <w:sz w:val="24"/>
          <w:szCs w:val="24"/>
        </w:rPr>
      </w:pPr>
      <w:r w:rsidRPr="005916D7">
        <w:rPr>
          <w:rFonts w:ascii="Times New Roman" w:hAnsi="Times New Roman" w:cs="Times New Roman"/>
          <w:sz w:val="24"/>
          <w:szCs w:val="24"/>
        </w:rPr>
        <w:t>Trial courts have established that a sentence on the remaining convictions counts longer compared to the sentence originally imposed on those particular convictions, although yielding an aggregate sentence not longer than the total sentence that is initially imposed. Notably, the practice is not in line with the cross-appeal rule that stops appellate judges from increasing the number of years to a defendant's sentence based on their initiative.</w:t>
      </w:r>
    </w:p>
    <w:p w:rsidR="005916D7" w:rsidRDefault="005916D7" w:rsidP="00775C1C">
      <w:pPr>
        <w:spacing w:line="480" w:lineRule="auto"/>
        <w:ind w:firstLine="720"/>
        <w:jc w:val="center"/>
        <w:rPr>
          <w:rFonts w:ascii="Times New Roman" w:hAnsi="Times New Roman" w:cs="Times New Roman"/>
          <w:sz w:val="24"/>
          <w:szCs w:val="24"/>
        </w:rPr>
      </w:pPr>
    </w:p>
    <w:p w:rsidR="005916D7" w:rsidRDefault="005916D7" w:rsidP="005916D7">
      <w:pPr>
        <w:spacing w:line="480" w:lineRule="auto"/>
        <w:jc w:val="center"/>
        <w:rPr>
          <w:rFonts w:ascii="Times New Roman" w:hAnsi="Times New Roman" w:cs="Times New Roman"/>
          <w:sz w:val="24"/>
          <w:szCs w:val="24"/>
        </w:rPr>
      </w:pPr>
    </w:p>
    <w:p w:rsidR="005916D7" w:rsidRDefault="005916D7" w:rsidP="005916D7">
      <w:pPr>
        <w:spacing w:line="480" w:lineRule="auto"/>
        <w:jc w:val="center"/>
        <w:rPr>
          <w:rFonts w:ascii="Times New Roman" w:hAnsi="Times New Roman" w:cs="Times New Roman"/>
          <w:sz w:val="24"/>
          <w:szCs w:val="24"/>
        </w:rPr>
      </w:pPr>
    </w:p>
    <w:p w:rsidR="005916D7" w:rsidRDefault="00D25710" w:rsidP="005916D7">
      <w:pPr>
        <w:spacing w:line="480" w:lineRule="auto"/>
        <w:jc w:val="center"/>
        <w:rPr>
          <w:rFonts w:ascii="Times New Roman" w:hAnsi="Times New Roman" w:cs="Times New Roman"/>
          <w:sz w:val="24"/>
          <w:szCs w:val="24"/>
        </w:rPr>
      </w:pPr>
      <w:r w:rsidRPr="005916D7">
        <w:rPr>
          <w:rFonts w:ascii="Times New Roman" w:hAnsi="Times New Roman" w:cs="Times New Roman"/>
          <w:sz w:val="24"/>
          <w:szCs w:val="24"/>
        </w:rPr>
        <w:lastRenderedPageBreak/>
        <w:t>Works Cited</w:t>
      </w:r>
    </w:p>
    <w:p w:rsidR="005916D7" w:rsidRPr="005916D7" w:rsidRDefault="005916D7" w:rsidP="00775C1C">
      <w:pPr>
        <w:spacing w:line="480" w:lineRule="auto"/>
        <w:ind w:left="720" w:hanging="720"/>
        <w:rPr>
          <w:rFonts w:ascii="Times New Roman" w:hAnsi="Times New Roman" w:cs="Times New Roman"/>
          <w:sz w:val="24"/>
          <w:szCs w:val="24"/>
        </w:rPr>
      </w:pPr>
      <w:r w:rsidRPr="005916D7">
        <w:rPr>
          <w:rFonts w:ascii="Times New Roman" w:eastAsia="Times New Roman" w:hAnsi="Times New Roman" w:cs="Times New Roman"/>
          <w:sz w:val="24"/>
          <w:szCs w:val="24"/>
        </w:rPr>
        <w:t>Epstein, Lee, et al.</w:t>
      </w:r>
      <w:r w:rsidRPr="005916D7">
        <w:rPr>
          <w:rFonts w:ascii="Times New Roman" w:eastAsia="Times New Roman" w:hAnsi="Times New Roman" w:cs="Times New Roman"/>
          <w:i/>
          <w:iCs/>
          <w:sz w:val="24"/>
          <w:szCs w:val="24"/>
        </w:rPr>
        <w:t>The Supreme Court compendium: Data, decisions, and developments</w:t>
      </w:r>
      <w:r w:rsidRPr="005916D7">
        <w:rPr>
          <w:rFonts w:ascii="Times New Roman" w:eastAsia="Times New Roman" w:hAnsi="Times New Roman" w:cs="Times New Roman"/>
          <w:sz w:val="24"/>
          <w:szCs w:val="24"/>
        </w:rPr>
        <w:t>. Cq Press, 2015.</w:t>
      </w:r>
    </w:p>
    <w:p w:rsidR="005916D7" w:rsidRPr="005916D7" w:rsidRDefault="005916D7" w:rsidP="00775C1C">
      <w:pPr>
        <w:spacing w:line="480" w:lineRule="auto"/>
        <w:ind w:left="720" w:hanging="720"/>
        <w:rPr>
          <w:rFonts w:ascii="Times New Roman" w:hAnsi="Times New Roman" w:cs="Times New Roman"/>
          <w:sz w:val="24"/>
          <w:szCs w:val="24"/>
        </w:rPr>
      </w:pPr>
      <w:r w:rsidRPr="002E15BB">
        <w:rPr>
          <w:rFonts w:ascii="Times New Roman" w:eastAsia="Times New Roman" w:hAnsi="Times New Roman" w:cs="Times New Roman"/>
          <w:sz w:val="24"/>
          <w:szCs w:val="24"/>
        </w:rPr>
        <w:t xml:space="preserve">McCall, Michael A., Madhavi M. McCall, and Christopher E. Smith. "Criminal Justice and the US Supreme Courts 2007-2008 Term." </w:t>
      </w:r>
      <w:r w:rsidRPr="002E15BB">
        <w:rPr>
          <w:rFonts w:ascii="Times New Roman" w:eastAsia="Times New Roman" w:hAnsi="Times New Roman" w:cs="Times New Roman"/>
          <w:i/>
          <w:iCs/>
          <w:sz w:val="24"/>
          <w:szCs w:val="24"/>
        </w:rPr>
        <w:t>SUL Rev.</w:t>
      </w:r>
      <w:r w:rsidRPr="005916D7">
        <w:rPr>
          <w:rFonts w:ascii="Times New Roman" w:eastAsia="Times New Roman" w:hAnsi="Times New Roman" w:cs="Times New Roman"/>
          <w:sz w:val="24"/>
          <w:szCs w:val="24"/>
        </w:rPr>
        <w:t xml:space="preserve"> 36 (2015</w:t>
      </w:r>
      <w:r w:rsidRPr="002E15BB">
        <w:rPr>
          <w:rFonts w:ascii="Times New Roman" w:eastAsia="Times New Roman" w:hAnsi="Times New Roman" w:cs="Times New Roman"/>
          <w:sz w:val="24"/>
          <w:szCs w:val="24"/>
        </w:rPr>
        <w:t>): 33.</w:t>
      </w:r>
    </w:p>
    <w:p w:rsidR="005916D7" w:rsidRPr="005916D7" w:rsidRDefault="005916D7" w:rsidP="00775C1C">
      <w:pPr>
        <w:spacing w:after="0" w:line="480" w:lineRule="auto"/>
        <w:ind w:left="720" w:hanging="720"/>
        <w:rPr>
          <w:rFonts w:ascii="Times New Roman" w:eastAsia="Times New Roman" w:hAnsi="Times New Roman" w:cs="Times New Roman"/>
          <w:sz w:val="24"/>
          <w:szCs w:val="24"/>
        </w:rPr>
      </w:pPr>
      <w:r w:rsidRPr="002E15BB">
        <w:rPr>
          <w:rFonts w:ascii="Times New Roman" w:eastAsia="Times New Roman" w:hAnsi="Times New Roman" w:cs="Times New Roman"/>
          <w:sz w:val="24"/>
          <w:szCs w:val="24"/>
        </w:rPr>
        <w:t xml:space="preserve">Riordan, Michael J. "Using a Firearm during and in Relation to a Drug Trafficking Crime: Defining the Elements of the Mandatory Sentencing Provision of 18 USC 924 (c)(1)." </w:t>
      </w:r>
      <w:r w:rsidRPr="002E15BB">
        <w:rPr>
          <w:rFonts w:ascii="Times New Roman" w:eastAsia="Times New Roman" w:hAnsi="Times New Roman" w:cs="Times New Roman"/>
          <w:i/>
          <w:iCs/>
          <w:sz w:val="24"/>
          <w:szCs w:val="24"/>
        </w:rPr>
        <w:t>Duq. L. Rev.</w:t>
      </w:r>
      <w:r w:rsidRPr="005916D7">
        <w:rPr>
          <w:rFonts w:ascii="Times New Roman" w:eastAsia="Times New Roman" w:hAnsi="Times New Roman" w:cs="Times New Roman"/>
          <w:sz w:val="24"/>
          <w:szCs w:val="24"/>
        </w:rPr>
        <w:t xml:space="preserve"> 30 (2016</w:t>
      </w:r>
      <w:r w:rsidRPr="002E15BB">
        <w:rPr>
          <w:rFonts w:ascii="Times New Roman" w:eastAsia="Times New Roman" w:hAnsi="Times New Roman" w:cs="Times New Roman"/>
          <w:sz w:val="24"/>
          <w:szCs w:val="24"/>
        </w:rPr>
        <w:t>): 39.</w:t>
      </w:r>
    </w:p>
    <w:p w:rsidR="005916D7" w:rsidRPr="005916D7" w:rsidRDefault="005916D7" w:rsidP="00775C1C">
      <w:pPr>
        <w:spacing w:after="0" w:line="480" w:lineRule="auto"/>
        <w:ind w:left="720" w:hanging="720"/>
        <w:rPr>
          <w:rFonts w:ascii="Times New Roman" w:eastAsia="Times New Roman" w:hAnsi="Times New Roman" w:cs="Times New Roman"/>
          <w:sz w:val="24"/>
          <w:szCs w:val="24"/>
        </w:rPr>
      </w:pPr>
      <w:r w:rsidRPr="001025FA">
        <w:rPr>
          <w:rFonts w:ascii="Times New Roman" w:eastAsia="Times New Roman" w:hAnsi="Times New Roman" w:cs="Times New Roman"/>
          <w:sz w:val="24"/>
          <w:szCs w:val="24"/>
        </w:rPr>
        <w:t xml:space="preserve">United States, and Edward Samuel Corwin. </w:t>
      </w:r>
      <w:r w:rsidRPr="001025FA">
        <w:rPr>
          <w:rFonts w:ascii="Times New Roman" w:eastAsia="Times New Roman" w:hAnsi="Times New Roman" w:cs="Times New Roman"/>
          <w:i/>
          <w:iCs/>
          <w:sz w:val="24"/>
          <w:szCs w:val="24"/>
        </w:rPr>
        <w:t>The Constitution of the United States of America: Analysis and Interpretation</w:t>
      </w:r>
      <w:r w:rsidRPr="001025FA">
        <w:rPr>
          <w:rFonts w:ascii="Times New Roman" w:eastAsia="Times New Roman" w:hAnsi="Times New Roman" w:cs="Times New Roman"/>
          <w:sz w:val="24"/>
          <w:szCs w:val="24"/>
        </w:rPr>
        <w:t xml:space="preserve">. US </w:t>
      </w:r>
      <w:r w:rsidRPr="005916D7">
        <w:rPr>
          <w:rFonts w:ascii="Times New Roman" w:eastAsia="Times New Roman" w:hAnsi="Times New Roman" w:cs="Times New Roman"/>
          <w:sz w:val="24"/>
          <w:szCs w:val="24"/>
        </w:rPr>
        <w:t>Government Printing Office, 2015</w:t>
      </w:r>
      <w:r w:rsidRPr="001025FA">
        <w:rPr>
          <w:rFonts w:ascii="Times New Roman" w:eastAsia="Times New Roman" w:hAnsi="Times New Roman" w:cs="Times New Roman"/>
          <w:sz w:val="24"/>
          <w:szCs w:val="24"/>
        </w:rPr>
        <w:t>.</w:t>
      </w:r>
    </w:p>
    <w:p w:rsidR="005916D7" w:rsidRPr="005916D7" w:rsidRDefault="005916D7" w:rsidP="00775C1C">
      <w:pPr>
        <w:spacing w:after="0" w:line="480" w:lineRule="auto"/>
        <w:ind w:left="720" w:hanging="720"/>
        <w:rPr>
          <w:rFonts w:ascii="Times New Roman" w:eastAsia="Times New Roman" w:hAnsi="Times New Roman" w:cs="Times New Roman"/>
          <w:sz w:val="24"/>
          <w:szCs w:val="24"/>
        </w:rPr>
      </w:pPr>
      <w:r w:rsidRPr="005916D7">
        <w:rPr>
          <w:rFonts w:ascii="Times New Roman" w:eastAsia="Times New Roman" w:hAnsi="Times New Roman" w:cs="Times New Roman"/>
          <w:sz w:val="24"/>
          <w:szCs w:val="24"/>
        </w:rPr>
        <w:t>Dressler, Joshua, and Alan C. Michaels.</w:t>
      </w:r>
      <w:r w:rsidRPr="005916D7">
        <w:rPr>
          <w:rFonts w:ascii="Times New Roman" w:eastAsia="Times New Roman" w:hAnsi="Times New Roman" w:cs="Times New Roman"/>
          <w:i/>
          <w:iCs/>
          <w:sz w:val="24"/>
          <w:szCs w:val="24"/>
        </w:rPr>
        <w:t>Understanding Criminal Procedure: Adjudication</w:t>
      </w:r>
      <w:r w:rsidRPr="005916D7">
        <w:rPr>
          <w:rFonts w:ascii="Times New Roman" w:eastAsia="Times New Roman" w:hAnsi="Times New Roman" w:cs="Times New Roman"/>
          <w:sz w:val="24"/>
          <w:szCs w:val="24"/>
        </w:rPr>
        <w:t>.Vol. 2.LexisNexis, 2016.</w:t>
      </w:r>
    </w:p>
    <w:p w:rsidR="005916D7" w:rsidRPr="005916D7" w:rsidRDefault="005916D7" w:rsidP="00775C1C">
      <w:pPr>
        <w:spacing w:after="0" w:line="480" w:lineRule="auto"/>
        <w:ind w:left="720" w:hanging="720"/>
        <w:rPr>
          <w:rFonts w:ascii="Times New Roman" w:eastAsia="Times New Roman" w:hAnsi="Times New Roman" w:cs="Times New Roman"/>
          <w:sz w:val="24"/>
          <w:szCs w:val="24"/>
        </w:rPr>
      </w:pPr>
    </w:p>
    <w:p w:rsidR="005916D7" w:rsidRPr="005916D7" w:rsidRDefault="005916D7" w:rsidP="00775C1C">
      <w:pPr>
        <w:spacing w:after="0" w:line="480" w:lineRule="auto"/>
        <w:ind w:left="720" w:hanging="720"/>
        <w:rPr>
          <w:rFonts w:ascii="Times New Roman" w:eastAsia="Times New Roman" w:hAnsi="Times New Roman" w:cs="Times New Roman"/>
          <w:sz w:val="24"/>
          <w:szCs w:val="24"/>
        </w:rPr>
      </w:pPr>
    </w:p>
    <w:p w:rsidR="005916D7" w:rsidRPr="005916D7" w:rsidRDefault="005916D7" w:rsidP="00775C1C">
      <w:pPr>
        <w:spacing w:after="0" w:line="480" w:lineRule="auto"/>
        <w:ind w:left="720" w:hanging="720"/>
        <w:rPr>
          <w:rFonts w:ascii="Times New Roman" w:eastAsia="Times New Roman" w:hAnsi="Times New Roman" w:cs="Times New Roman"/>
          <w:sz w:val="24"/>
          <w:szCs w:val="24"/>
        </w:rPr>
      </w:pPr>
    </w:p>
    <w:p w:rsidR="001025FA" w:rsidRPr="001025FA" w:rsidRDefault="001025FA" w:rsidP="00775C1C">
      <w:pPr>
        <w:spacing w:after="0" w:line="480" w:lineRule="auto"/>
        <w:ind w:left="720" w:hanging="720"/>
        <w:rPr>
          <w:rFonts w:ascii="Times New Roman" w:eastAsia="Times New Roman" w:hAnsi="Times New Roman" w:cs="Times New Roman"/>
          <w:sz w:val="24"/>
          <w:szCs w:val="24"/>
        </w:rPr>
      </w:pPr>
    </w:p>
    <w:p w:rsidR="001025FA" w:rsidRPr="002E15BB" w:rsidRDefault="001025FA" w:rsidP="005916D7">
      <w:pPr>
        <w:spacing w:after="0" w:line="480" w:lineRule="auto"/>
        <w:ind w:left="720" w:hanging="720"/>
        <w:rPr>
          <w:rFonts w:ascii="Times New Roman" w:eastAsia="Times New Roman" w:hAnsi="Times New Roman" w:cs="Times New Roman"/>
          <w:sz w:val="24"/>
          <w:szCs w:val="24"/>
        </w:rPr>
      </w:pPr>
    </w:p>
    <w:p w:rsidR="00D25710" w:rsidRPr="002E15BB" w:rsidRDefault="00D25710" w:rsidP="005916D7">
      <w:pPr>
        <w:spacing w:after="0" w:line="480" w:lineRule="auto"/>
        <w:ind w:left="720" w:hanging="720"/>
        <w:rPr>
          <w:rFonts w:ascii="Times New Roman" w:eastAsia="Times New Roman" w:hAnsi="Times New Roman" w:cs="Times New Roman"/>
          <w:sz w:val="24"/>
          <w:szCs w:val="24"/>
        </w:rPr>
      </w:pPr>
    </w:p>
    <w:p w:rsidR="00D25710" w:rsidRPr="005916D7" w:rsidRDefault="00D25710" w:rsidP="005916D7">
      <w:pPr>
        <w:spacing w:line="480" w:lineRule="auto"/>
        <w:ind w:left="720" w:hanging="720"/>
        <w:rPr>
          <w:rFonts w:ascii="Times New Roman" w:hAnsi="Times New Roman" w:cs="Times New Roman"/>
          <w:sz w:val="24"/>
          <w:szCs w:val="24"/>
        </w:rPr>
      </w:pPr>
    </w:p>
    <w:p w:rsidR="00D25710" w:rsidRPr="005916D7" w:rsidRDefault="00D25710" w:rsidP="005916D7">
      <w:pPr>
        <w:spacing w:line="480" w:lineRule="auto"/>
        <w:ind w:left="720" w:hanging="720"/>
        <w:rPr>
          <w:rFonts w:ascii="Times New Roman" w:hAnsi="Times New Roman" w:cs="Times New Roman"/>
          <w:sz w:val="24"/>
          <w:szCs w:val="24"/>
        </w:rPr>
      </w:pPr>
      <w:r w:rsidRPr="005916D7">
        <w:rPr>
          <w:rFonts w:ascii="Times New Roman" w:hAnsi="Times New Roman" w:cs="Times New Roman"/>
          <w:sz w:val="24"/>
          <w:szCs w:val="24"/>
        </w:rPr>
        <w:br w:type="page"/>
      </w:r>
    </w:p>
    <w:p w:rsidR="002A1A5F" w:rsidRPr="005916D7" w:rsidRDefault="00195141" w:rsidP="005916D7">
      <w:pPr>
        <w:spacing w:line="480" w:lineRule="auto"/>
        <w:ind w:left="720" w:hanging="720"/>
        <w:rPr>
          <w:rFonts w:ascii="Times New Roman" w:hAnsi="Times New Roman" w:cs="Times New Roman"/>
          <w:sz w:val="24"/>
          <w:szCs w:val="24"/>
        </w:rPr>
      </w:pPr>
    </w:p>
    <w:p w:rsidR="002961FC" w:rsidRPr="005916D7" w:rsidRDefault="00195141" w:rsidP="005916D7">
      <w:pPr>
        <w:spacing w:line="480" w:lineRule="auto"/>
        <w:rPr>
          <w:rFonts w:ascii="Times New Roman" w:hAnsi="Times New Roman" w:cs="Times New Roman"/>
          <w:sz w:val="24"/>
          <w:szCs w:val="24"/>
        </w:rPr>
      </w:pPr>
    </w:p>
    <w:p w:rsidR="002801D6" w:rsidRPr="005916D7" w:rsidRDefault="00BF7064" w:rsidP="005916D7">
      <w:pPr>
        <w:pStyle w:val="NormalWeb"/>
        <w:spacing w:line="480" w:lineRule="auto"/>
      </w:pPr>
      <w:r w:rsidRPr="005916D7">
        <w:t>     </w:t>
      </w:r>
    </w:p>
    <w:p w:rsidR="002801D6" w:rsidRPr="005916D7" w:rsidRDefault="00195141" w:rsidP="005916D7">
      <w:pPr>
        <w:spacing w:line="480" w:lineRule="auto"/>
        <w:rPr>
          <w:rFonts w:ascii="Times New Roman" w:hAnsi="Times New Roman" w:cs="Times New Roman"/>
          <w:b/>
          <w:sz w:val="24"/>
          <w:szCs w:val="24"/>
        </w:rPr>
      </w:pPr>
    </w:p>
    <w:p w:rsidR="00F4039E" w:rsidRPr="005916D7" w:rsidRDefault="00195141" w:rsidP="005916D7">
      <w:pPr>
        <w:spacing w:line="480" w:lineRule="auto"/>
        <w:rPr>
          <w:rFonts w:ascii="Times New Roman" w:hAnsi="Times New Roman" w:cs="Times New Roman"/>
          <w:sz w:val="24"/>
          <w:szCs w:val="24"/>
        </w:rPr>
      </w:pPr>
    </w:p>
    <w:sectPr w:rsidR="00F4039E" w:rsidRPr="005916D7" w:rsidSect="00CB59D9">
      <w:headerReference w:type="default" r:id="rId6"/>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986B0B89" w15:done="0"/>
  <w15:commentEx w15:paraId="0A788F77" w15:done="0"/>
  <w15:commentEx w15:paraId="1B067E57" w15:done="0"/>
  <w15:commentEx w15:paraId="EA96BD51" w15:done="0"/>
  <w15:commentEx w15:paraId="6681694E" w15:done="0"/>
  <w15:commentEx w15:paraId="FB31A81E" w15:done="0"/>
  <w15:commentEx w15:paraId="FDD618C6" w15:done="0"/>
  <w15:commentEx w15:paraId="CC96E3AA" w15:done="0"/>
  <w15:commentEx w15:paraId="DA919A0C" w15:done="0"/>
  <w15:commentEx w15:paraId="C02C2606" w15:done="0"/>
  <w15:commentEx w15:paraId="E0B14D16" w15:done="0"/>
  <w15:commentEx w15:paraId="315ABB2A" w15:done="0"/>
  <w15:commentEx w15:paraId="61952F35" w15:done="0"/>
  <w15:commentEx w15:paraId="E5BFFC08" w15:done="0"/>
  <w15:commentEx w15:paraId="E12F20C8" w15:done="0"/>
  <w15:commentEx w15:paraId="7D7C9D6A" w15:done="0"/>
  <w15:commentEx w15:paraId="63F51F20" w15:done="0"/>
  <w15:commentEx w15:paraId="26BA032F" w15:done="0"/>
  <w15:commentEx w15:paraId="95679241" w15:done="0"/>
  <w15:commentEx w15:paraId="C5EC1DD9" w15:done="0"/>
  <w15:commentEx w15:paraId="006E201F" w15:done="0"/>
  <w15:commentEx w15:paraId="B1F6EA13" w15:done="0"/>
  <w15:commentEx w15:paraId="32ACDCB9" w15:done="0"/>
  <w15:commentEx w15:paraId="45C1EC33" w15:done="0"/>
  <w15:commentEx w15:paraId="3A51C6CD" w15:done="0"/>
  <w15:commentEx w15:paraId="8FCEA425" w15:done="0"/>
  <w15:commentEx w15:paraId="A6CBFB22" w15:done="0"/>
  <w15:commentEx w15:paraId="3FCF0E29" w15:done="0"/>
  <w15:commentEx w15:paraId="572ACBFC" w15:done="0"/>
  <w15:commentEx w15:paraId="AC3AD863" w15:done="0"/>
  <w15:commentEx w15:paraId="7C4AA2D5" w15:done="0"/>
  <w15:commentEx w15:paraId="385A6800" w15:done="0"/>
  <w15:commentEx w15:paraId="CD734AD1" w15:done="0"/>
  <w15:commentEx w15:paraId="A2255563" w15:done="0"/>
  <w15:commentEx w15:paraId="57069824" w15:done="0"/>
  <w15:commentEx w15:paraId="4B19A9F7" w15:done="0"/>
  <w15:commentEx w15:paraId="AA5FB86C" w15:done="0"/>
  <w15:commentEx w15:paraId="34B5A26B" w15:done="0"/>
  <w15:commentEx w15:paraId="CF4789D1" w15:done="0"/>
  <w15:commentEx w15:paraId="599A2EAF" w15:done="0"/>
  <w15:commentEx w15:paraId="5F8E276D" w15:done="0"/>
  <w15:commentEx w15:paraId="7B8E8AE8" w15:done="0"/>
  <w15:commentEx w15:paraId="81C3CDB6" w15:done="0"/>
  <w15:commentEx w15:paraId="E447C7A0" w15:done="0"/>
  <w15:commentEx w15:paraId="7ACE7791" w15:done="0"/>
  <w15:commentEx w15:paraId="627E5D44" w15:done="0"/>
  <w15:commentEx w15:paraId="9C0E47CC" w15:done="0"/>
  <w15:commentEx w15:paraId="EF8060FC" w15:done="0"/>
  <w15:commentEx w15:paraId="0BA9DEC4" w15:done="0"/>
  <w15:commentEx w15:paraId="667FA957" w15:done="0"/>
  <w15:commentEx w15:paraId="129E20C3" w15:done="0"/>
  <w15:commentEx w15:paraId="0F3AF174" w15:done="0"/>
  <w15:commentEx w15:paraId="46E338BE" w15:done="0"/>
  <w15:commentEx w15:paraId="F1C698A7" w15:done="0"/>
  <w15:commentEx w15:paraId="32132F47" w15:done="0"/>
  <w15:commentEx w15:paraId="7696208D" w15:done="0"/>
  <w15:commentEx w15:paraId="71C12E8C" w15:done="0"/>
  <w15:commentEx w15:paraId="A70873A2" w15:done="0"/>
  <w15:commentEx w15:paraId="5B32598E" w15:done="0"/>
  <w15:commentEx w15:paraId="75A9184F" w15:done="0"/>
  <w15:commentEx w15:paraId="0FDEB35E" w15:done="0"/>
  <w15:commentEx w15:paraId="CB70E7A6" w15:done="0"/>
  <w15:commentEx w15:paraId="C7BEA4AB"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141" w:rsidRDefault="00195141" w:rsidP="005916D7">
      <w:pPr>
        <w:spacing w:after="0" w:line="240" w:lineRule="auto"/>
      </w:pPr>
      <w:r>
        <w:separator/>
      </w:r>
    </w:p>
  </w:endnote>
  <w:endnote w:type="continuationSeparator" w:id="1">
    <w:p w:rsidR="00195141" w:rsidRDefault="00195141" w:rsidP="005916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141" w:rsidRDefault="00195141" w:rsidP="005916D7">
      <w:pPr>
        <w:spacing w:after="0" w:line="240" w:lineRule="auto"/>
      </w:pPr>
      <w:r>
        <w:separator/>
      </w:r>
    </w:p>
  </w:footnote>
  <w:footnote w:type="continuationSeparator" w:id="1">
    <w:p w:rsidR="00195141" w:rsidRDefault="00195141" w:rsidP="005916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4892722"/>
      <w:docPartObj>
        <w:docPartGallery w:val="Page Numbers (Top of Page)"/>
        <w:docPartUnique/>
      </w:docPartObj>
    </w:sdtPr>
    <w:sdtEndPr>
      <w:rPr>
        <w:noProof/>
      </w:rPr>
    </w:sdtEndPr>
    <w:sdtContent>
      <w:p w:rsidR="005916D7" w:rsidRDefault="005916D7">
        <w:pPr>
          <w:pStyle w:val="Header"/>
          <w:jc w:val="right"/>
        </w:pPr>
        <w:r w:rsidRPr="005916D7">
          <w:rPr>
            <w:rFonts w:ascii="Times New Roman" w:hAnsi="Times New Roman" w:cs="Times New Roman"/>
            <w:sz w:val="24"/>
            <w:szCs w:val="24"/>
          </w:rPr>
          <w:t>Surname</w:t>
        </w:r>
        <w:r w:rsidR="009B1F83">
          <w:rPr>
            <w:rFonts w:ascii="Times New Roman" w:hAnsi="Times New Roman" w:cs="Times New Roman"/>
            <w:sz w:val="24"/>
            <w:szCs w:val="24"/>
          </w:rPr>
          <w:t xml:space="preserve"> </w:t>
        </w:r>
        <w:r w:rsidR="00CB59D9" w:rsidRPr="005916D7">
          <w:rPr>
            <w:rFonts w:ascii="Times New Roman" w:hAnsi="Times New Roman" w:cs="Times New Roman"/>
            <w:sz w:val="24"/>
            <w:szCs w:val="24"/>
          </w:rPr>
          <w:fldChar w:fldCharType="begin"/>
        </w:r>
        <w:r w:rsidRPr="005916D7">
          <w:rPr>
            <w:rFonts w:ascii="Times New Roman" w:hAnsi="Times New Roman" w:cs="Times New Roman"/>
            <w:sz w:val="24"/>
            <w:szCs w:val="24"/>
          </w:rPr>
          <w:instrText xml:space="preserve"> PAGE   \* MERGEFORMAT </w:instrText>
        </w:r>
        <w:r w:rsidR="00CB59D9" w:rsidRPr="005916D7">
          <w:rPr>
            <w:rFonts w:ascii="Times New Roman" w:hAnsi="Times New Roman" w:cs="Times New Roman"/>
            <w:sz w:val="24"/>
            <w:szCs w:val="24"/>
          </w:rPr>
          <w:fldChar w:fldCharType="separate"/>
        </w:r>
        <w:r w:rsidR="009B1F83">
          <w:rPr>
            <w:rFonts w:ascii="Times New Roman" w:hAnsi="Times New Roman" w:cs="Times New Roman"/>
            <w:noProof/>
            <w:sz w:val="24"/>
            <w:szCs w:val="24"/>
          </w:rPr>
          <w:t>5</w:t>
        </w:r>
        <w:r w:rsidR="00CB59D9" w:rsidRPr="005916D7">
          <w:rPr>
            <w:rFonts w:ascii="Times New Roman" w:hAnsi="Times New Roman" w:cs="Times New Roman"/>
            <w:noProof/>
            <w:sz w:val="24"/>
            <w:szCs w:val="24"/>
          </w:rPr>
          <w:fldChar w:fldCharType="end"/>
        </w:r>
      </w:p>
    </w:sdtContent>
  </w:sdt>
  <w:p w:rsidR="005916D7" w:rsidRDefault="005916D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11743"/>
    <w:rsid w:val="001025FA"/>
    <w:rsid w:val="00195141"/>
    <w:rsid w:val="00211743"/>
    <w:rsid w:val="005916D7"/>
    <w:rsid w:val="006911ED"/>
    <w:rsid w:val="00775C1C"/>
    <w:rsid w:val="009B1F83"/>
    <w:rsid w:val="00BF7064"/>
    <w:rsid w:val="00CB59D9"/>
    <w:rsid w:val="00D257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9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801D6"/>
    <w:rPr>
      <w:i/>
      <w:iCs/>
    </w:rPr>
  </w:style>
  <w:style w:type="character" w:styleId="Hyperlink">
    <w:name w:val="Hyperlink"/>
    <w:basedOn w:val="DefaultParagraphFont"/>
    <w:uiPriority w:val="99"/>
    <w:semiHidden/>
    <w:unhideWhenUsed/>
    <w:rsid w:val="002801D6"/>
    <w:rPr>
      <w:color w:val="0000FF"/>
      <w:u w:val="single"/>
    </w:rPr>
  </w:style>
  <w:style w:type="paragraph" w:styleId="NormalWeb">
    <w:name w:val="Normal (Web)"/>
    <w:basedOn w:val="Normal"/>
    <w:uiPriority w:val="99"/>
    <w:unhideWhenUsed/>
    <w:rsid w:val="002801D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B59D9"/>
    <w:pPr>
      <w:spacing w:line="240" w:lineRule="auto"/>
    </w:pPr>
    <w:rPr>
      <w:sz w:val="20"/>
      <w:szCs w:val="20"/>
    </w:rPr>
  </w:style>
  <w:style w:type="character" w:customStyle="1" w:styleId="CommentTextChar">
    <w:name w:val="Comment Text Char"/>
    <w:basedOn w:val="DefaultParagraphFont"/>
    <w:link w:val="CommentText"/>
    <w:uiPriority w:val="99"/>
    <w:semiHidden/>
    <w:rsid w:val="00CB59D9"/>
    <w:rPr>
      <w:sz w:val="20"/>
      <w:szCs w:val="20"/>
    </w:rPr>
  </w:style>
  <w:style w:type="paragraph" w:styleId="BalloonText">
    <w:name w:val="Balloon Text"/>
    <w:basedOn w:val="Normal"/>
    <w:link w:val="BalloonTextChar"/>
    <w:uiPriority w:val="99"/>
    <w:semiHidden/>
    <w:unhideWhenUsed/>
    <w:rsid w:val="00D257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710"/>
    <w:rPr>
      <w:rFonts w:ascii="Tahoma" w:hAnsi="Tahoma" w:cs="Tahoma"/>
      <w:sz w:val="16"/>
      <w:szCs w:val="16"/>
    </w:rPr>
  </w:style>
  <w:style w:type="paragraph" w:styleId="Header">
    <w:name w:val="header"/>
    <w:basedOn w:val="Normal"/>
    <w:link w:val="HeaderChar"/>
    <w:uiPriority w:val="99"/>
    <w:unhideWhenUsed/>
    <w:rsid w:val="00591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6D7"/>
  </w:style>
  <w:style w:type="paragraph" w:styleId="Footer">
    <w:name w:val="footer"/>
    <w:basedOn w:val="Normal"/>
    <w:link w:val="FooterChar"/>
    <w:uiPriority w:val="99"/>
    <w:unhideWhenUsed/>
    <w:rsid w:val="00591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6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801D6"/>
    <w:rPr>
      <w:i/>
      <w:iCs/>
    </w:rPr>
  </w:style>
  <w:style w:type="character" w:styleId="Hyperlink">
    <w:name w:val="Hyperlink"/>
    <w:basedOn w:val="DefaultParagraphFont"/>
    <w:uiPriority w:val="99"/>
    <w:semiHidden/>
    <w:unhideWhenUsed/>
    <w:rsid w:val="002801D6"/>
    <w:rPr>
      <w:color w:val="0000FF"/>
      <w:u w:val="single"/>
    </w:rPr>
  </w:style>
  <w:style w:type="paragraph" w:styleId="NormalWeb">
    <w:name w:val="Normal (Web)"/>
    <w:basedOn w:val="Normal"/>
    <w:uiPriority w:val="99"/>
    <w:unhideWhenUsed/>
    <w:rsid w:val="002801D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57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710"/>
    <w:rPr>
      <w:rFonts w:ascii="Tahoma" w:hAnsi="Tahoma" w:cs="Tahoma"/>
      <w:sz w:val="16"/>
      <w:szCs w:val="16"/>
    </w:rPr>
  </w:style>
  <w:style w:type="paragraph" w:styleId="Header">
    <w:name w:val="header"/>
    <w:basedOn w:val="Normal"/>
    <w:link w:val="HeaderChar"/>
    <w:uiPriority w:val="99"/>
    <w:unhideWhenUsed/>
    <w:rsid w:val="00591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6D7"/>
  </w:style>
  <w:style w:type="paragraph" w:styleId="Footer">
    <w:name w:val="footer"/>
    <w:basedOn w:val="Normal"/>
    <w:link w:val="FooterChar"/>
    <w:uiPriority w:val="99"/>
    <w:unhideWhenUsed/>
    <w:rsid w:val="00591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6D7"/>
  </w:style>
</w:styles>
</file>

<file path=word/webSettings.xml><?xml version="1.0" encoding="utf-8"?>
<w:webSettings xmlns:r="http://schemas.openxmlformats.org/officeDocument/2006/relationships" xmlns:w="http://schemas.openxmlformats.org/wordprocessingml/2006/main">
  <w:divs>
    <w:div w:id="642858284">
      <w:bodyDiv w:val="1"/>
      <w:marLeft w:val="0"/>
      <w:marRight w:val="0"/>
      <w:marTop w:val="0"/>
      <w:marBottom w:val="0"/>
      <w:divBdr>
        <w:top w:val="none" w:sz="0" w:space="0" w:color="auto"/>
        <w:left w:val="none" w:sz="0" w:space="0" w:color="auto"/>
        <w:bottom w:val="none" w:sz="0" w:space="0" w:color="auto"/>
        <w:right w:val="none" w:sz="0" w:space="0" w:color="auto"/>
      </w:divBdr>
      <w:divsChild>
        <w:div w:id="736245855">
          <w:marLeft w:val="0"/>
          <w:marRight w:val="0"/>
          <w:marTop w:val="0"/>
          <w:marBottom w:val="0"/>
          <w:divBdr>
            <w:top w:val="none" w:sz="0" w:space="0" w:color="auto"/>
            <w:left w:val="none" w:sz="0" w:space="0" w:color="auto"/>
            <w:bottom w:val="none" w:sz="0" w:space="0" w:color="auto"/>
            <w:right w:val="none" w:sz="0" w:space="0" w:color="auto"/>
          </w:divBdr>
        </w:div>
      </w:divsChild>
    </w:div>
    <w:div w:id="653489263">
      <w:bodyDiv w:val="1"/>
      <w:marLeft w:val="0"/>
      <w:marRight w:val="0"/>
      <w:marTop w:val="0"/>
      <w:marBottom w:val="0"/>
      <w:divBdr>
        <w:top w:val="none" w:sz="0" w:space="0" w:color="auto"/>
        <w:left w:val="none" w:sz="0" w:space="0" w:color="auto"/>
        <w:bottom w:val="none" w:sz="0" w:space="0" w:color="auto"/>
        <w:right w:val="none" w:sz="0" w:space="0" w:color="auto"/>
      </w:divBdr>
      <w:divsChild>
        <w:div w:id="2066947949">
          <w:marLeft w:val="0"/>
          <w:marRight w:val="0"/>
          <w:marTop w:val="0"/>
          <w:marBottom w:val="0"/>
          <w:divBdr>
            <w:top w:val="none" w:sz="0" w:space="0" w:color="auto"/>
            <w:left w:val="none" w:sz="0" w:space="0" w:color="auto"/>
            <w:bottom w:val="none" w:sz="0" w:space="0" w:color="auto"/>
            <w:right w:val="none" w:sz="0" w:space="0" w:color="auto"/>
          </w:divBdr>
        </w:div>
      </w:divsChild>
    </w:div>
    <w:div w:id="702049552">
      <w:bodyDiv w:val="1"/>
      <w:marLeft w:val="0"/>
      <w:marRight w:val="0"/>
      <w:marTop w:val="0"/>
      <w:marBottom w:val="0"/>
      <w:divBdr>
        <w:top w:val="none" w:sz="0" w:space="0" w:color="auto"/>
        <w:left w:val="none" w:sz="0" w:space="0" w:color="auto"/>
        <w:bottom w:val="none" w:sz="0" w:space="0" w:color="auto"/>
        <w:right w:val="none" w:sz="0" w:space="0" w:color="auto"/>
      </w:divBdr>
      <w:divsChild>
        <w:div w:id="15257532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11/relationships/commentsExtended" Target="commentsExtended.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1133</Words>
  <Characters>6461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2017-11-30T06:14:00Z</dcterms:created>
  <dcterms:modified xsi:type="dcterms:W3CDTF">2017-11-30T06:15:00Z</dcterms:modified>
</cp:coreProperties>
</file>